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D3EF85B" wp14:paraId="7B8C9723" wp14:textId="17254042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Meeting Minutes</w:t>
      </w:r>
      <w:r>
        <w:br/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CON/Policy Focus Group</w:t>
      </w:r>
      <w:r>
        <w:br/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Date: September 10, 2025</w:t>
      </w:r>
      <w:r>
        <w:br/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Participants: Matt Castner, Dr. Kelly Russo, Delora Sanchez Ifekauche, Adam Kane</w:t>
      </w:r>
    </w:p>
    <w:p xmlns:wp14="http://schemas.microsoft.com/office/word/2010/wordml" w:rsidP="2D3EF85B" wp14:paraId="35950F9B" wp14:textId="7AAC0698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Opening and Introductions</w:t>
      </w:r>
    </w:p>
    <w:p xmlns:wp14="http://schemas.microsoft.com/office/word/2010/wordml" w:rsidP="2D3EF85B" wp14:paraId="24BECC39" wp14:textId="6EE8BEF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Meeting began with introductions. </w:t>
      </w:r>
    </w:p>
    <w:p xmlns:wp14="http://schemas.microsoft.com/office/word/2010/wordml" w:rsidP="2D3EF85B" wp14:paraId="7EE13D1F" wp14:textId="2B9288B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The group acknowledged that the Policy Focus Group and Certificate of Need (CON) Focus Group have been combined, as the scopes of work significantly overlap.</w:t>
      </w:r>
    </w:p>
    <w:p xmlns:wp14="http://schemas.microsoft.com/office/word/2010/wordml" w:rsidP="2D3EF85B" wp14:paraId="07E93B1A" wp14:textId="58281B80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Discussion on Scope and Priorities</w:t>
      </w:r>
    </w:p>
    <w:p xmlns:wp14="http://schemas.microsoft.com/office/word/2010/wordml" w:rsidP="2D3EF85B" wp14:paraId="46C959B2" wp14:textId="5BC0D18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Members reviewed the combined scope. The central issue includes evaluating the feasibility of a second hospital in Howard County, per the Executive Order, and broader implications of healthcare policy changes.</w:t>
      </w:r>
    </w:p>
    <w:p xmlns:wp14="http://schemas.microsoft.com/office/word/2010/wordml" w:rsidP="2D3EF85B" wp14:paraId="15EB8CC0" wp14:textId="32BFCCC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Adam Kane raised concern that while the scope references a second hospital, there is little likelihood the state would approve one. Instead, capacity issues at Howard County General Hospital and regional resources are more pressing.</w:t>
      </w:r>
    </w:p>
    <w:p xmlns:wp14="http://schemas.microsoft.com/office/word/2010/wordml" w:rsidP="2D3EF85B" wp14:paraId="39E1BDBA" wp14:textId="5897B99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3DBEC86A">
        <w:rPr>
          <w:rFonts w:ascii="Aptos" w:hAnsi="Aptos" w:eastAsia="Aptos" w:cs="Aptos"/>
          <w:noProof w:val="0"/>
          <w:sz w:val="24"/>
          <w:szCs w:val="24"/>
          <w:lang w:val="en-US"/>
        </w:rPr>
        <w:t>The group discussed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examin</w:t>
      </w:r>
      <w:r w:rsidRPr="2D3EF85B" w:rsidR="6A44042C">
        <w:rPr>
          <w:rFonts w:ascii="Aptos" w:hAnsi="Aptos" w:eastAsia="Aptos" w:cs="Aptos"/>
          <w:noProof w:val="0"/>
          <w:sz w:val="24"/>
          <w:szCs w:val="24"/>
          <w:lang w:val="en-US"/>
        </w:rPr>
        <w:t>ing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alternatives to a second hospital, such as expanding bed capacity, addressing skilled nursing facility shortages, and regional approaches.</w:t>
      </w:r>
    </w:p>
    <w:p xmlns:wp14="http://schemas.microsoft.com/office/word/2010/wordml" w:rsidP="2D3EF85B" wp14:paraId="3B7E6B21" wp14:textId="653B8B6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group </w:t>
      </w:r>
      <w:r w:rsidRPr="2D3EF85B" w:rsidR="7184E26A">
        <w:rPr>
          <w:rFonts w:ascii="Aptos" w:hAnsi="Aptos" w:eastAsia="Aptos" w:cs="Aptos"/>
          <w:noProof w:val="0"/>
          <w:sz w:val="24"/>
          <w:szCs w:val="24"/>
          <w:lang w:val="en-US"/>
        </w:rPr>
        <w:t>discussed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that inpatient bottlenecks (patients waiting for skilled nursing placement, behavioral health capacity shortages) significantly affect hospital bed availability.</w:t>
      </w:r>
    </w:p>
    <w:p xmlns:wp14="http://schemas.microsoft.com/office/word/2010/wordml" w:rsidP="2D3EF85B" wp14:paraId="31F5EC59" wp14:textId="18F99925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Certificate of Need (CON) Process</w:t>
      </w:r>
    </w:p>
    <w:p xmlns:wp14="http://schemas.microsoft.com/office/word/2010/wordml" w:rsidP="2D3EF85B" wp14:paraId="3575456E" wp14:textId="070D797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Members discussed the Maryland Health Care Commission (MHCC) role in CON determinations, which are regional in scope.</w:t>
      </w:r>
    </w:p>
    <w:p xmlns:wp14="http://schemas.microsoft.com/office/word/2010/wordml" w:rsidP="2D3EF85B" wp14:paraId="16BA81D7" wp14:textId="126B1BF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It was noted that very few hospitals have been approved in Maryland in the past several decades, making a second hospital unlikely.</w:t>
      </w:r>
    </w:p>
    <w:p xmlns:wp14="http://schemas.microsoft.com/office/word/2010/wordml" w:rsidP="2D3EF85B" wp14:paraId="3DD80BFA" wp14:textId="47248E2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group </w:t>
      </w:r>
      <w:r w:rsidRPr="2D3EF85B" w:rsidR="3D50F363">
        <w:rPr>
          <w:rFonts w:ascii="Aptos" w:hAnsi="Aptos" w:eastAsia="Aptos" w:cs="Aptos"/>
          <w:noProof w:val="0"/>
          <w:sz w:val="24"/>
          <w:szCs w:val="24"/>
          <w:lang w:val="en-US"/>
        </w:rPr>
        <w:t>will need to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analyze Howard County’s situation against CON criteria to fulfill the Executive Order, while also 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identifying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alternative solutions (e.g., skilled nursing, behavioral health beds, urgent care, freestanding emergency departments).</w:t>
      </w:r>
    </w:p>
    <w:p xmlns:wp14="http://schemas.microsoft.com/office/word/2010/wordml" w:rsidP="2D3EF85B" wp14:paraId="3E601542" wp14:textId="2ADE3E0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Next steps include engaging with MHCC staff (including the new director, Dr. Jacobs, and long-standing staff) to understand criteria, processes, and available data.</w:t>
      </w:r>
    </w:p>
    <w:p xmlns:wp14="http://schemas.microsoft.com/office/word/2010/wordml" w:rsidP="2D3EF85B" wp14:paraId="5D6EBCFC" wp14:textId="68973861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Policy Monitoring</w:t>
      </w:r>
    </w:p>
    <w:p xmlns:wp14="http://schemas.microsoft.com/office/word/2010/wordml" w:rsidP="2D3EF85B" wp14:paraId="6EB79C9C" wp14:textId="346849F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Members agreed the policy focus should include monitoring federal and state changes affecting insurance coverage, Medicaid, ACA marketplace stability, and related impacts on Howard County.</w:t>
      </w:r>
    </w:p>
    <w:p xmlns:wp14="http://schemas.microsoft.com/office/word/2010/wordml" w:rsidP="2D3EF85B" wp14:paraId="01F4E575" wp14:textId="09ABF39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Anticipated issues:</w:t>
      </w:r>
      <w:r>
        <w:br/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Growth in uninsured populations due to Medicaid work requirements and potential ACA marketplace instability.</w:t>
      </w:r>
      <w:r>
        <w:br/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• Pressure on safety-net services such as behavioral health, aging, and substance use programs due to reduced grant funding.</w:t>
      </w:r>
    </w:p>
    <w:p xmlns:wp14="http://schemas.microsoft.com/office/word/2010/wordml" w:rsidP="2D3EF85B" wp14:paraId="351C5F60" wp14:textId="06D6630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The group discussed stress-testing Howard County’s coverage landscape by quantifying current payer populations (Medicare, Medicaid, ACA, uninsured, undocumented) and modeling effects of federal/state changes.</w:t>
      </w:r>
    </w:p>
    <w:p xmlns:wp14="http://schemas.microsoft.com/office/word/2010/wordml" w:rsidP="2D3EF85B" wp14:paraId="6C6AEED5" wp14:textId="79C1F70F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Howard County 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likely has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better baseline uninsured rates compared to other 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counties, but</w:t>
      </w: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still faces vulnerabilities.</w:t>
      </w:r>
      <w:r w:rsidRPr="2D3EF85B" w:rsidR="770836A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2D3EF85B" wp14:paraId="6FAE90B9" wp14:textId="5BBFAE0A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Data sources to explore include county epidemiology staff, health needs assessments, Chase Brexton Health Care data, and state-level breakdowns.</w:t>
      </w:r>
    </w:p>
    <w:p xmlns:wp14="http://schemas.microsoft.com/office/word/2010/wordml" w:rsidP="2D3EF85B" wp14:paraId="36FF0A5F" wp14:textId="7053CC0E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Communication and Public Engagement</w:t>
      </w:r>
    </w:p>
    <w:p xmlns:wp14="http://schemas.microsoft.com/office/word/2010/wordml" w:rsidP="2D3EF85B" wp14:paraId="2DCBBF21" wp14:textId="6324DE1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Members recognized the challenge of managing public perception around the “second hospital” issue. While public demand exists, state/regional realities make approval unlikely.</w:t>
      </w:r>
    </w:p>
    <w:p xmlns:wp14="http://schemas.microsoft.com/office/word/2010/wordml" w:rsidP="2D3EF85B" wp14:paraId="3D3C7E16" wp14:textId="3368099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The group discussed the need for clear messaging to explain constraints, alternatives, and county-specific solutions.</w:t>
      </w:r>
    </w:p>
    <w:p xmlns:wp14="http://schemas.microsoft.com/office/word/2010/wordml" w:rsidP="2D3EF85B" wp14:paraId="7B8DFCCA" wp14:textId="0B4DD40B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Next Steps</w:t>
      </w:r>
    </w:p>
    <w:p xmlns:wp14="http://schemas.microsoft.com/office/word/2010/wordml" w:rsidP="2D3EF85B" wp14:paraId="70663047" wp14:textId="2222B73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Adam Kane and Delora Sanchez Ifekauche will coordinate outreach to MHCC (Dr. Jacobs and key staff) to gather process and data insights.</w:t>
      </w:r>
    </w:p>
    <w:p xmlns:wp14="http://schemas.microsoft.com/office/word/2010/wordml" w:rsidP="2D3EF85B" wp14:paraId="601BB939" wp14:textId="6E2C6F3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Dr. Kelly Russo will check with county epidemiologists for data on insurance coverage and uninsured populations.</w:t>
      </w:r>
    </w:p>
    <w:p xmlns:wp14="http://schemas.microsoft.com/office/word/2010/wordml" w:rsidP="2D3EF85B" wp14:paraId="435AD001" wp14:textId="23A0A31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32140E57">
        <w:rPr>
          <w:rFonts w:ascii="Aptos" w:hAnsi="Aptos" w:eastAsia="Aptos" w:cs="Aptos"/>
          <w:noProof w:val="0"/>
          <w:sz w:val="24"/>
          <w:szCs w:val="24"/>
          <w:lang w:val="en-US"/>
        </w:rPr>
        <w:t>Deb Poquette has made a request to MHA for any data they might have pertaining to what MHCC would theoretically require.</w:t>
      </w:r>
    </w:p>
    <w:p xmlns:wp14="http://schemas.microsoft.com/office/word/2010/wordml" w:rsidP="2D3EF85B" wp14:paraId="6815CFF3" wp14:textId="045AF0D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Group will consider engaging Hopkins, MedStar, HSCRC, and Chase Brexton for additional perspectives and data.</w:t>
      </w:r>
    </w:p>
    <w:p xmlns:wp14="http://schemas.microsoft.com/office/word/2010/wordml" w:rsidP="2D3EF85B" wp14:paraId="6C6E17FB" wp14:textId="4E2D6B1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Plan to structure policy monitoring around the Provider Forum’s existing framework (access, behavioral health, workforce, emergency care, etc.) for consistency.</w:t>
      </w:r>
    </w:p>
    <w:p xmlns:wp14="http://schemas.microsoft.com/office/word/2010/wordml" w:rsidP="2D3EF85B" wp14:paraId="202ACB20" wp14:textId="0A72FF01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Target timeframe for next meeting: early to mid-October, pending MHCC availability.</w:t>
      </w:r>
    </w:p>
    <w:p xmlns:wp14="http://schemas.microsoft.com/office/word/2010/wordml" w:rsidP="2D3EF85B" wp14:paraId="4FCBA65C" wp14:textId="398C6BD7">
      <w:pPr>
        <w:spacing w:before="240" w:beforeAutospacing="off" w:after="240" w:afterAutospacing="off"/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Closing</w:t>
      </w:r>
    </w:p>
    <w:p xmlns:wp14="http://schemas.microsoft.com/office/word/2010/wordml" w:rsidP="2D3EF85B" wp14:paraId="2DA6560B" wp14:textId="2AEF9E2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Members confirmed that quarterly updates from small groups will feed into the overall Provider Forum reporting process.</w:t>
      </w:r>
    </w:p>
    <w:p xmlns:wp14="http://schemas.microsoft.com/office/word/2010/wordml" w:rsidP="2D3EF85B" wp14:paraId="137C50A4" wp14:textId="4BEF31D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D3EF85B" w:rsidR="4AFE03EB">
        <w:rPr>
          <w:rFonts w:ascii="Aptos" w:hAnsi="Aptos" w:eastAsia="Aptos" w:cs="Aptos"/>
          <w:noProof w:val="0"/>
          <w:sz w:val="24"/>
          <w:szCs w:val="24"/>
          <w:lang w:val="en-US"/>
        </w:rPr>
        <w:t>Meeting adjourned with agreement to refine scope and clarify process further after MHCC consultation.</w:t>
      </w:r>
    </w:p>
    <w:p xmlns:wp14="http://schemas.microsoft.com/office/word/2010/wordml" wp14:paraId="2C078E63" wp14:textId="05F096D1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85313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e50c1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52897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febf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02d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1f1c6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d8fe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EC23BA"/>
    <w:rsid w:val="0BEC23BA"/>
    <w:rsid w:val="0F66CF7A"/>
    <w:rsid w:val="156D9592"/>
    <w:rsid w:val="21C28B72"/>
    <w:rsid w:val="2D3EF85B"/>
    <w:rsid w:val="2EC5B2C2"/>
    <w:rsid w:val="32140E57"/>
    <w:rsid w:val="3D50F363"/>
    <w:rsid w:val="3DBEC86A"/>
    <w:rsid w:val="4AFE03EB"/>
    <w:rsid w:val="552485AA"/>
    <w:rsid w:val="56F29BDF"/>
    <w:rsid w:val="6A44042C"/>
    <w:rsid w:val="7184E26A"/>
    <w:rsid w:val="7708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23BA"/>
  <w15:chartTrackingRefBased/>
  <w15:docId w15:val="{EF2E0F25-A3D8-4196-85F0-439AD593D0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D3EF85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cb42ccedbedc40c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2025-09-10T22:45:06.2293578Z</dcterms:created>
  <dcterms:modified xsi:type="dcterms:W3CDTF">2025-09-11T00:10:57.7409024Z</dcterms:modified>
  <dc:creator>Poquette, Deb</dc:creator>
  <lastModifiedBy>Poquette, Deb</lastModifiedBy>
</coreProperties>
</file>