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DA8" w:rsidRDefault="00881DA8" w:rsidP="00AE7FF1">
      <w:pPr>
        <w:pStyle w:val="NoSpacing"/>
        <w:jc w:val="center"/>
        <w:rPr>
          <w:rFonts w:ascii="Arial" w:hAnsi="Arial" w:cs="Arial"/>
          <w:b/>
          <w:color w:val="000000"/>
          <w:sz w:val="36"/>
          <w:szCs w:val="36"/>
        </w:rPr>
      </w:pPr>
      <w:r w:rsidRPr="00A74E5A">
        <w:rPr>
          <w:rFonts w:ascii="Arial" w:hAnsi="Arial" w:cs="Arial"/>
          <w:b/>
          <w:color w:val="000000"/>
          <w:sz w:val="36"/>
          <w:szCs w:val="36"/>
        </w:rPr>
        <w:t>2013 LEGISLATIVE CHANGES</w:t>
      </w:r>
    </w:p>
    <w:p w:rsidR="005B011A" w:rsidRDefault="005B011A" w:rsidP="00881DA8">
      <w:pPr>
        <w:pStyle w:val="NoSpacing"/>
        <w:jc w:val="center"/>
        <w:rPr>
          <w:rFonts w:ascii="Arial" w:hAnsi="Arial" w:cs="Arial"/>
          <w:b/>
          <w:color w:val="000000"/>
          <w:sz w:val="36"/>
          <w:szCs w:val="36"/>
        </w:rPr>
      </w:pPr>
    </w:p>
    <w:p w:rsidR="005B011A" w:rsidRDefault="005B011A" w:rsidP="005B011A">
      <w:pPr>
        <w:pStyle w:val="NoSpacing"/>
        <w:rPr>
          <w:rFonts w:ascii="Arial" w:hAnsi="Arial" w:cs="Arial"/>
          <w:b/>
          <w:color w:val="000000"/>
          <w:sz w:val="36"/>
          <w:szCs w:val="36"/>
        </w:rPr>
      </w:pPr>
    </w:p>
    <w:p w:rsidR="005B011A" w:rsidRPr="00E8488B" w:rsidRDefault="005B011A" w:rsidP="005B011A">
      <w:pPr>
        <w:pStyle w:val="NoSpacing"/>
        <w:rPr>
          <w:rFonts w:ascii="Arial" w:hAnsi="Arial" w:cs="Arial"/>
          <w:b/>
          <w:color w:val="000000"/>
          <w:sz w:val="32"/>
          <w:szCs w:val="32"/>
        </w:rPr>
      </w:pPr>
      <w:r w:rsidRPr="00E8488B">
        <w:rPr>
          <w:rFonts w:ascii="Arial" w:hAnsi="Arial" w:cs="Arial"/>
          <w:b/>
          <w:color w:val="000000"/>
          <w:sz w:val="32"/>
          <w:szCs w:val="32"/>
        </w:rPr>
        <w:t>EFFECTIVE DATE:</w:t>
      </w:r>
    </w:p>
    <w:p w:rsidR="005B011A" w:rsidRPr="005B011A" w:rsidRDefault="00CE2BCB" w:rsidP="005B011A">
      <w:pPr>
        <w:pStyle w:val="NoSpacing"/>
        <w:rPr>
          <w:rFonts w:ascii="Arial" w:hAnsi="Arial" w:cs="Arial"/>
          <w:color w:val="000000"/>
          <w:sz w:val="28"/>
          <w:szCs w:val="28"/>
        </w:rPr>
      </w:pPr>
      <w:r>
        <w:rPr>
          <w:rFonts w:ascii="Arial" w:hAnsi="Arial" w:cs="Arial"/>
          <w:color w:val="000000"/>
          <w:sz w:val="28"/>
          <w:szCs w:val="28"/>
        </w:rPr>
        <w:t>The amendments to the recordation tax laws apply to instruments of writing that are recorded on or after July 1, 2013.</w:t>
      </w:r>
    </w:p>
    <w:p w:rsidR="00A74E5A" w:rsidRDefault="00A74E5A" w:rsidP="00A74E5A">
      <w:pPr>
        <w:pStyle w:val="NoSpacing"/>
        <w:rPr>
          <w:rFonts w:ascii="Arial" w:hAnsi="Arial" w:cs="Arial"/>
          <w:b/>
          <w:color w:val="000000"/>
          <w:sz w:val="36"/>
          <w:szCs w:val="36"/>
        </w:rPr>
      </w:pPr>
    </w:p>
    <w:p w:rsidR="00A74E5A" w:rsidRPr="00E8488B" w:rsidRDefault="00A74E5A" w:rsidP="00CE2BCB">
      <w:pPr>
        <w:autoSpaceDE w:val="0"/>
        <w:autoSpaceDN w:val="0"/>
        <w:adjustRightInd w:val="0"/>
        <w:spacing w:after="0" w:line="240" w:lineRule="auto"/>
        <w:rPr>
          <w:rFonts w:ascii="MS Shell Dlg 2" w:hAnsi="MS Shell Dlg 2" w:cs="MS Shell Dlg 2"/>
          <w:sz w:val="32"/>
          <w:szCs w:val="32"/>
        </w:rPr>
      </w:pPr>
      <w:r w:rsidRPr="00E8488B">
        <w:rPr>
          <w:rFonts w:ascii="Arial" w:hAnsi="Arial" w:cs="Arial"/>
          <w:b/>
          <w:color w:val="000000"/>
          <w:sz w:val="32"/>
          <w:szCs w:val="32"/>
        </w:rPr>
        <w:t>I</w:t>
      </w:r>
      <w:r w:rsidR="00CE2BCB" w:rsidRPr="00E8488B">
        <w:rPr>
          <w:rFonts w:ascii="Arial" w:hAnsi="Arial" w:cs="Arial"/>
          <w:b/>
          <w:color w:val="000000"/>
          <w:sz w:val="32"/>
          <w:szCs w:val="32"/>
        </w:rPr>
        <w:t>NDEMNITY DEEDS OF TRUST (IDOTS)</w:t>
      </w:r>
      <w:r w:rsidR="009C097D" w:rsidRPr="00E8488B">
        <w:rPr>
          <w:rFonts w:ascii="Arial" w:hAnsi="Arial" w:cs="Arial"/>
          <w:b/>
          <w:color w:val="000000"/>
          <w:sz w:val="32"/>
          <w:szCs w:val="32"/>
        </w:rPr>
        <w:t xml:space="preserve"> TP</w:t>
      </w:r>
      <w:r w:rsidR="00CE2BCB" w:rsidRPr="00E8488B">
        <w:rPr>
          <w:rFonts w:ascii="Arial" w:hAnsi="Arial" w:cs="Arial"/>
          <w:b/>
          <w:color w:val="000000"/>
          <w:sz w:val="32"/>
          <w:szCs w:val="32"/>
        </w:rPr>
        <w:t xml:space="preserve"> </w:t>
      </w:r>
      <w:r w:rsidR="00CE2BCB" w:rsidRPr="00E8488B">
        <w:rPr>
          <w:rFonts w:ascii="Arial" w:hAnsi="Arial" w:cs="Arial"/>
          <w:b/>
          <w:sz w:val="32"/>
          <w:szCs w:val="32"/>
        </w:rPr>
        <w:t>§ 12-105(f</w:t>
      </w:r>
      <w:proofErr w:type="gramStart"/>
      <w:r w:rsidR="00CE2BCB" w:rsidRPr="00E8488B">
        <w:rPr>
          <w:rFonts w:ascii="Arial" w:hAnsi="Arial" w:cs="Arial"/>
          <w:b/>
          <w:sz w:val="32"/>
          <w:szCs w:val="32"/>
        </w:rPr>
        <w:t>)(</w:t>
      </w:r>
      <w:proofErr w:type="gramEnd"/>
      <w:r w:rsidR="00CE2BCB" w:rsidRPr="00E8488B">
        <w:rPr>
          <w:rFonts w:ascii="Arial" w:hAnsi="Arial" w:cs="Arial"/>
          <w:b/>
          <w:sz w:val="32"/>
          <w:szCs w:val="32"/>
        </w:rPr>
        <w:t>7)</w:t>
      </w:r>
      <w:r w:rsidRPr="00E8488B">
        <w:rPr>
          <w:rFonts w:ascii="Arial" w:hAnsi="Arial" w:cs="Arial"/>
          <w:b/>
          <w:color w:val="000000"/>
          <w:sz w:val="32"/>
          <w:szCs w:val="32"/>
        </w:rPr>
        <w:t xml:space="preserve">:  </w:t>
      </w:r>
      <w:r w:rsidRPr="00E8488B">
        <w:rPr>
          <w:rFonts w:ascii="Arial" w:hAnsi="Arial" w:cs="Arial"/>
          <w:b/>
          <w:color w:val="000000"/>
          <w:sz w:val="32"/>
          <w:szCs w:val="32"/>
        </w:rPr>
        <w:tab/>
      </w:r>
    </w:p>
    <w:p w:rsidR="00A74E5A" w:rsidRDefault="00CE2BCB" w:rsidP="00A74E5A">
      <w:pPr>
        <w:pStyle w:val="NoSpacing"/>
        <w:rPr>
          <w:rFonts w:ascii="Arial" w:hAnsi="Arial" w:cs="Arial"/>
          <w:color w:val="000000"/>
          <w:sz w:val="28"/>
          <w:szCs w:val="28"/>
        </w:rPr>
      </w:pPr>
      <w:r>
        <w:rPr>
          <w:rFonts w:ascii="Arial" w:hAnsi="Arial" w:cs="Arial"/>
          <w:color w:val="000000"/>
          <w:sz w:val="28"/>
          <w:szCs w:val="28"/>
        </w:rPr>
        <w:t>Recordation Tax will be collected on an IDOT or series of IDOTs that secure the guaranty of a loan, or a series of loans, equaling more than $3 million.  The recordation tax is computed upon the loan amount secured by the IDOT.  If an IDOT is exempt from recordation tax, the exemption should be noted on the first page.</w:t>
      </w:r>
    </w:p>
    <w:p w:rsidR="00CE2BCB" w:rsidRDefault="00CE2BCB" w:rsidP="00A74E5A">
      <w:pPr>
        <w:pStyle w:val="NoSpacing"/>
        <w:rPr>
          <w:rFonts w:ascii="Arial" w:hAnsi="Arial" w:cs="Arial"/>
          <w:color w:val="000000"/>
          <w:sz w:val="28"/>
          <w:szCs w:val="28"/>
        </w:rPr>
      </w:pPr>
    </w:p>
    <w:p w:rsidR="00CE2BCB" w:rsidRDefault="00CE2BCB" w:rsidP="00CE2BCB">
      <w:pPr>
        <w:autoSpaceDE w:val="0"/>
        <w:autoSpaceDN w:val="0"/>
        <w:adjustRightInd w:val="0"/>
        <w:spacing w:after="0" w:line="240" w:lineRule="auto"/>
        <w:rPr>
          <w:rFonts w:ascii="MS Shell Dlg 2" w:hAnsi="MS Shell Dlg 2" w:cs="MS Shell Dlg 2"/>
          <w:sz w:val="16"/>
          <w:szCs w:val="16"/>
        </w:rPr>
      </w:pPr>
      <w:r>
        <w:rPr>
          <w:rFonts w:ascii="Arial" w:hAnsi="Arial" w:cs="Arial"/>
          <w:color w:val="000000"/>
          <w:sz w:val="28"/>
          <w:szCs w:val="28"/>
        </w:rPr>
        <w:t>If there is a combination of taxable and non-taxable collateral or the property securing the guaranty is located in more than on</w:t>
      </w:r>
      <w:r w:rsidR="00014B59">
        <w:rPr>
          <w:rFonts w:ascii="Arial" w:hAnsi="Arial" w:cs="Arial"/>
          <w:color w:val="000000"/>
          <w:sz w:val="28"/>
          <w:szCs w:val="28"/>
        </w:rPr>
        <w:t>e</w:t>
      </w:r>
      <w:r>
        <w:rPr>
          <w:rFonts w:ascii="Arial" w:hAnsi="Arial" w:cs="Arial"/>
          <w:color w:val="000000"/>
          <w:sz w:val="28"/>
          <w:szCs w:val="28"/>
        </w:rPr>
        <w:t xml:space="preserve"> County (or more than one state), then the recordation tax on the IDOT may be based on an allocation under TP </w:t>
      </w:r>
      <w:r>
        <w:rPr>
          <w:rFonts w:ascii="Arial" w:hAnsi="Arial" w:cs="Arial"/>
          <w:sz w:val="26"/>
          <w:szCs w:val="26"/>
        </w:rPr>
        <w:t>§ 12-105(a) or the stated amount secured on the face of the IDOT.</w:t>
      </w:r>
    </w:p>
    <w:p w:rsidR="00CE2BCB" w:rsidRDefault="00CE2BCB" w:rsidP="00A74E5A">
      <w:pPr>
        <w:pStyle w:val="NoSpacing"/>
        <w:rPr>
          <w:rFonts w:ascii="Arial" w:hAnsi="Arial" w:cs="Arial"/>
          <w:color w:val="000000"/>
          <w:sz w:val="28"/>
          <w:szCs w:val="28"/>
        </w:rPr>
      </w:pPr>
    </w:p>
    <w:p w:rsidR="00933FF3" w:rsidRDefault="00933FF3" w:rsidP="00A74E5A">
      <w:pPr>
        <w:pStyle w:val="NoSpacing"/>
        <w:rPr>
          <w:rFonts w:ascii="Arial" w:hAnsi="Arial" w:cs="Arial"/>
          <w:color w:val="000000"/>
          <w:sz w:val="28"/>
          <w:szCs w:val="28"/>
        </w:rPr>
      </w:pPr>
    </w:p>
    <w:p w:rsidR="00933FF3" w:rsidRDefault="00933FF3" w:rsidP="00A74E5A">
      <w:pPr>
        <w:pStyle w:val="NoSpacing"/>
        <w:rPr>
          <w:rFonts w:ascii="Arial" w:hAnsi="Arial" w:cs="Arial"/>
          <w:color w:val="000000"/>
          <w:sz w:val="28"/>
          <w:szCs w:val="28"/>
        </w:rPr>
      </w:pPr>
      <w:r>
        <w:rPr>
          <w:rFonts w:ascii="Arial" w:hAnsi="Arial" w:cs="Arial"/>
          <w:color w:val="000000"/>
          <w:sz w:val="28"/>
          <w:szCs w:val="28"/>
        </w:rPr>
        <w:t>The following documents will need to be presented with an IDOT:</w:t>
      </w:r>
    </w:p>
    <w:p w:rsidR="00933FF3" w:rsidRDefault="00933FF3" w:rsidP="00933FF3">
      <w:pPr>
        <w:pStyle w:val="NoSpacing"/>
        <w:numPr>
          <w:ilvl w:val="0"/>
          <w:numId w:val="5"/>
        </w:numPr>
        <w:rPr>
          <w:rFonts w:ascii="Arial" w:hAnsi="Arial" w:cs="Arial"/>
          <w:color w:val="000000"/>
          <w:sz w:val="28"/>
          <w:szCs w:val="28"/>
        </w:rPr>
      </w:pPr>
      <w:r>
        <w:rPr>
          <w:rFonts w:ascii="Arial" w:hAnsi="Arial" w:cs="Arial"/>
          <w:color w:val="000000"/>
          <w:sz w:val="28"/>
          <w:szCs w:val="28"/>
        </w:rPr>
        <w:t>A copy of the note.</w:t>
      </w:r>
    </w:p>
    <w:p w:rsidR="00933FF3" w:rsidRDefault="006E2223" w:rsidP="00933FF3">
      <w:pPr>
        <w:pStyle w:val="NoSpacing"/>
        <w:numPr>
          <w:ilvl w:val="0"/>
          <w:numId w:val="5"/>
        </w:numPr>
        <w:rPr>
          <w:rFonts w:ascii="Arial" w:hAnsi="Arial" w:cs="Arial"/>
          <w:color w:val="000000"/>
          <w:sz w:val="28"/>
          <w:szCs w:val="28"/>
        </w:rPr>
      </w:pPr>
      <w:r>
        <w:rPr>
          <w:rFonts w:ascii="Arial" w:hAnsi="Arial" w:cs="Arial"/>
          <w:color w:val="000000"/>
          <w:sz w:val="28"/>
          <w:szCs w:val="28"/>
        </w:rPr>
        <w:t>A copy of th</w:t>
      </w:r>
      <w:r w:rsidR="00933FF3">
        <w:rPr>
          <w:rFonts w:ascii="Arial" w:hAnsi="Arial" w:cs="Arial"/>
          <w:color w:val="000000"/>
          <w:sz w:val="28"/>
          <w:szCs w:val="28"/>
        </w:rPr>
        <w:t>e Guarantee Agreement</w:t>
      </w:r>
      <w:r w:rsidR="0031239A">
        <w:rPr>
          <w:rFonts w:ascii="Arial" w:hAnsi="Arial" w:cs="Arial"/>
          <w:color w:val="000000"/>
          <w:sz w:val="28"/>
          <w:szCs w:val="28"/>
        </w:rPr>
        <w:t>.</w:t>
      </w:r>
    </w:p>
    <w:p w:rsidR="00933FF3" w:rsidRDefault="00444EB8" w:rsidP="00933FF3">
      <w:pPr>
        <w:pStyle w:val="NoSpacing"/>
        <w:numPr>
          <w:ilvl w:val="0"/>
          <w:numId w:val="5"/>
        </w:numPr>
        <w:rPr>
          <w:rFonts w:ascii="Arial" w:hAnsi="Arial" w:cs="Arial"/>
          <w:color w:val="000000"/>
          <w:sz w:val="28"/>
          <w:szCs w:val="28"/>
        </w:rPr>
      </w:pPr>
      <w:r>
        <w:rPr>
          <w:rFonts w:ascii="Arial" w:hAnsi="Arial" w:cs="Arial"/>
          <w:color w:val="000000"/>
          <w:sz w:val="28"/>
          <w:szCs w:val="28"/>
        </w:rPr>
        <w:t>The HUD-1 settlement statement</w:t>
      </w:r>
      <w:r w:rsidR="00933FF3">
        <w:rPr>
          <w:rFonts w:ascii="Arial" w:hAnsi="Arial" w:cs="Arial"/>
          <w:color w:val="000000"/>
          <w:sz w:val="28"/>
          <w:szCs w:val="28"/>
        </w:rPr>
        <w:t xml:space="preserve"> or other closing statement.</w:t>
      </w:r>
    </w:p>
    <w:p w:rsidR="00FB3B40" w:rsidRDefault="00FB3B40" w:rsidP="00933FF3">
      <w:pPr>
        <w:pStyle w:val="NoSpacing"/>
        <w:numPr>
          <w:ilvl w:val="0"/>
          <w:numId w:val="5"/>
        </w:numPr>
        <w:rPr>
          <w:rFonts w:ascii="Arial" w:hAnsi="Arial" w:cs="Arial"/>
          <w:color w:val="000000"/>
          <w:sz w:val="28"/>
          <w:szCs w:val="28"/>
        </w:rPr>
      </w:pPr>
      <w:r>
        <w:rPr>
          <w:rFonts w:ascii="Arial" w:hAnsi="Arial" w:cs="Arial"/>
          <w:color w:val="000000"/>
          <w:sz w:val="28"/>
          <w:szCs w:val="28"/>
        </w:rPr>
        <w:t>IDOT affidavit (revised version available online)</w:t>
      </w:r>
      <w:r w:rsidR="00C82F09">
        <w:rPr>
          <w:rFonts w:ascii="Arial" w:hAnsi="Arial" w:cs="Arial"/>
          <w:color w:val="000000"/>
          <w:sz w:val="28"/>
          <w:szCs w:val="28"/>
        </w:rPr>
        <w:t xml:space="preserve"> and</w:t>
      </w:r>
    </w:p>
    <w:p w:rsidR="00933FF3" w:rsidRDefault="00933FF3" w:rsidP="00933FF3">
      <w:pPr>
        <w:pStyle w:val="NoSpacing"/>
        <w:numPr>
          <w:ilvl w:val="0"/>
          <w:numId w:val="5"/>
        </w:numPr>
        <w:rPr>
          <w:rFonts w:ascii="Arial" w:hAnsi="Arial" w:cs="Arial"/>
          <w:color w:val="000000"/>
          <w:sz w:val="28"/>
          <w:szCs w:val="28"/>
        </w:rPr>
      </w:pPr>
      <w:r>
        <w:rPr>
          <w:rFonts w:ascii="Arial" w:hAnsi="Arial" w:cs="Arial"/>
          <w:color w:val="000000"/>
          <w:sz w:val="28"/>
          <w:szCs w:val="28"/>
        </w:rPr>
        <w:t>The loan agreement if the loan amount is $3 million or greater</w:t>
      </w:r>
      <w:r w:rsidR="0031239A">
        <w:rPr>
          <w:rFonts w:ascii="Arial" w:hAnsi="Arial" w:cs="Arial"/>
          <w:color w:val="000000"/>
          <w:sz w:val="28"/>
          <w:szCs w:val="28"/>
        </w:rPr>
        <w:t>.</w:t>
      </w:r>
    </w:p>
    <w:p w:rsidR="001C2952" w:rsidRDefault="001C2952" w:rsidP="001C2952">
      <w:pPr>
        <w:pStyle w:val="NoSpacing"/>
        <w:rPr>
          <w:rFonts w:ascii="Arial" w:hAnsi="Arial" w:cs="Arial"/>
          <w:color w:val="000000"/>
          <w:sz w:val="28"/>
          <w:szCs w:val="28"/>
        </w:rPr>
      </w:pPr>
    </w:p>
    <w:p w:rsidR="00685D92" w:rsidRPr="00E8488B" w:rsidRDefault="001C2952" w:rsidP="009C097D">
      <w:pPr>
        <w:autoSpaceDE w:val="0"/>
        <w:autoSpaceDN w:val="0"/>
        <w:adjustRightInd w:val="0"/>
        <w:spacing w:after="0" w:line="240" w:lineRule="auto"/>
        <w:rPr>
          <w:rFonts w:ascii="MS Shell Dlg 2" w:hAnsi="MS Shell Dlg 2" w:cs="MS Shell Dlg 2"/>
          <w:sz w:val="32"/>
          <w:szCs w:val="32"/>
        </w:rPr>
      </w:pPr>
      <w:r w:rsidRPr="00E8488B">
        <w:rPr>
          <w:rFonts w:ascii="Arial" w:hAnsi="Arial" w:cs="Arial"/>
          <w:b/>
          <w:color w:val="000000"/>
          <w:sz w:val="32"/>
          <w:szCs w:val="32"/>
        </w:rPr>
        <w:t>SUPPLEMENTAL INSTRUMENTS</w:t>
      </w:r>
      <w:r w:rsidR="009C097D" w:rsidRPr="00E8488B">
        <w:rPr>
          <w:rFonts w:ascii="Arial" w:hAnsi="Arial" w:cs="Arial"/>
          <w:b/>
          <w:color w:val="000000"/>
          <w:sz w:val="32"/>
          <w:szCs w:val="32"/>
        </w:rPr>
        <w:t xml:space="preserve"> TP </w:t>
      </w:r>
      <w:r w:rsidR="009C097D" w:rsidRPr="00E8488B">
        <w:rPr>
          <w:rFonts w:ascii="Arial" w:hAnsi="Arial" w:cs="Arial"/>
          <w:b/>
          <w:sz w:val="32"/>
          <w:szCs w:val="32"/>
        </w:rPr>
        <w:t>§ 12-108(e)</w:t>
      </w:r>
      <w:r w:rsidRPr="00E8488B">
        <w:rPr>
          <w:rFonts w:ascii="Arial" w:hAnsi="Arial" w:cs="Arial"/>
          <w:b/>
          <w:color w:val="000000"/>
          <w:sz w:val="32"/>
          <w:szCs w:val="32"/>
        </w:rPr>
        <w:t>:</w:t>
      </w:r>
    </w:p>
    <w:p w:rsidR="00685D92" w:rsidRDefault="00152B15" w:rsidP="001C2952">
      <w:pPr>
        <w:pStyle w:val="NoSpacing"/>
        <w:rPr>
          <w:rFonts w:ascii="Arial" w:hAnsi="Arial" w:cs="Arial"/>
          <w:color w:val="000000"/>
          <w:sz w:val="28"/>
          <w:szCs w:val="28"/>
        </w:rPr>
      </w:pPr>
      <w:r>
        <w:rPr>
          <w:rFonts w:ascii="Arial" w:hAnsi="Arial" w:cs="Arial"/>
          <w:color w:val="000000"/>
          <w:sz w:val="28"/>
          <w:szCs w:val="28"/>
        </w:rPr>
        <w:t>Recordation</w:t>
      </w:r>
      <w:r w:rsidR="00685D92">
        <w:rPr>
          <w:rFonts w:ascii="Arial" w:hAnsi="Arial" w:cs="Arial"/>
          <w:color w:val="000000"/>
          <w:sz w:val="28"/>
          <w:szCs w:val="28"/>
        </w:rPr>
        <w:t xml:space="preserve"> tax </w:t>
      </w:r>
      <w:r>
        <w:rPr>
          <w:rFonts w:ascii="Arial" w:hAnsi="Arial" w:cs="Arial"/>
          <w:color w:val="000000"/>
          <w:sz w:val="28"/>
          <w:szCs w:val="28"/>
        </w:rPr>
        <w:t>will be</w:t>
      </w:r>
      <w:r w:rsidR="00685D92">
        <w:rPr>
          <w:rFonts w:ascii="Arial" w:hAnsi="Arial" w:cs="Arial"/>
          <w:color w:val="000000"/>
          <w:sz w:val="28"/>
          <w:szCs w:val="28"/>
        </w:rPr>
        <w:t xml:space="preserve"> collected on any “new money” or the difference between money advanced under the supplemental instrument and the outstanding principal balance of the </w:t>
      </w:r>
      <w:r>
        <w:rPr>
          <w:rFonts w:ascii="Arial" w:hAnsi="Arial" w:cs="Arial"/>
          <w:color w:val="000000"/>
          <w:sz w:val="28"/>
          <w:szCs w:val="28"/>
        </w:rPr>
        <w:t xml:space="preserve">secured </w:t>
      </w:r>
      <w:r w:rsidR="00685D92">
        <w:rPr>
          <w:rFonts w:ascii="Arial" w:hAnsi="Arial" w:cs="Arial"/>
          <w:color w:val="000000"/>
          <w:sz w:val="28"/>
          <w:szCs w:val="28"/>
        </w:rPr>
        <w:t>loan as of the date of the supplemental instrument.</w:t>
      </w:r>
    </w:p>
    <w:p w:rsidR="00D732AB" w:rsidRDefault="00D732AB" w:rsidP="001C2952">
      <w:pPr>
        <w:pStyle w:val="NoSpacing"/>
        <w:rPr>
          <w:rFonts w:ascii="Arial" w:hAnsi="Arial" w:cs="Arial"/>
          <w:color w:val="000000"/>
          <w:sz w:val="28"/>
          <w:szCs w:val="28"/>
        </w:rPr>
      </w:pPr>
    </w:p>
    <w:p w:rsidR="00152B15" w:rsidRDefault="00152B15" w:rsidP="001C2952">
      <w:pPr>
        <w:pStyle w:val="NoSpacing"/>
        <w:rPr>
          <w:rFonts w:ascii="Arial" w:hAnsi="Arial" w:cs="Arial"/>
          <w:color w:val="000000"/>
          <w:sz w:val="28"/>
          <w:szCs w:val="28"/>
        </w:rPr>
      </w:pPr>
      <w:r>
        <w:rPr>
          <w:rFonts w:ascii="Arial" w:hAnsi="Arial" w:cs="Arial"/>
          <w:color w:val="000000"/>
          <w:sz w:val="28"/>
          <w:szCs w:val="28"/>
        </w:rPr>
        <w:lastRenderedPageBreak/>
        <w:t>The following documents will need to be presented with the Supplemental instrument:</w:t>
      </w:r>
    </w:p>
    <w:p w:rsidR="00152B15" w:rsidRDefault="00152B15" w:rsidP="001C2952">
      <w:pPr>
        <w:pStyle w:val="NoSpacing"/>
        <w:rPr>
          <w:rFonts w:ascii="Arial" w:hAnsi="Arial" w:cs="Arial"/>
          <w:color w:val="000000"/>
          <w:sz w:val="28"/>
          <w:szCs w:val="28"/>
        </w:rPr>
      </w:pPr>
    </w:p>
    <w:p w:rsidR="00152B15" w:rsidRDefault="00D6207C" w:rsidP="00152B15">
      <w:pPr>
        <w:pStyle w:val="NoSpacing"/>
        <w:numPr>
          <w:ilvl w:val="0"/>
          <w:numId w:val="5"/>
        </w:numPr>
        <w:rPr>
          <w:rFonts w:ascii="Arial" w:hAnsi="Arial" w:cs="Arial"/>
          <w:color w:val="000000"/>
          <w:sz w:val="28"/>
          <w:szCs w:val="28"/>
        </w:rPr>
      </w:pPr>
      <w:r>
        <w:rPr>
          <w:rFonts w:ascii="Arial" w:hAnsi="Arial" w:cs="Arial"/>
          <w:color w:val="000000"/>
          <w:sz w:val="28"/>
          <w:szCs w:val="28"/>
        </w:rPr>
        <w:t>Affidavit for refinances and supplements</w:t>
      </w:r>
      <w:r w:rsidR="00152B15">
        <w:rPr>
          <w:rFonts w:ascii="Arial" w:hAnsi="Arial" w:cs="Arial"/>
          <w:color w:val="000000"/>
          <w:sz w:val="28"/>
          <w:szCs w:val="28"/>
        </w:rPr>
        <w:t xml:space="preserve"> (available on line)</w:t>
      </w:r>
      <w:r w:rsidR="00C82F09">
        <w:rPr>
          <w:rFonts w:ascii="Arial" w:hAnsi="Arial" w:cs="Arial"/>
          <w:color w:val="000000"/>
          <w:sz w:val="28"/>
          <w:szCs w:val="28"/>
        </w:rPr>
        <w:t xml:space="preserve"> and</w:t>
      </w:r>
    </w:p>
    <w:p w:rsidR="00152B15" w:rsidRDefault="00152B15" w:rsidP="00152B15">
      <w:pPr>
        <w:pStyle w:val="NoSpacing"/>
        <w:numPr>
          <w:ilvl w:val="0"/>
          <w:numId w:val="5"/>
        </w:numPr>
        <w:rPr>
          <w:rFonts w:ascii="Arial" w:hAnsi="Arial" w:cs="Arial"/>
          <w:color w:val="000000"/>
          <w:sz w:val="28"/>
          <w:szCs w:val="28"/>
        </w:rPr>
      </w:pPr>
      <w:r>
        <w:rPr>
          <w:rFonts w:ascii="Arial" w:hAnsi="Arial" w:cs="Arial"/>
          <w:color w:val="000000"/>
          <w:sz w:val="28"/>
          <w:szCs w:val="28"/>
        </w:rPr>
        <w:t>The HUD-1 settlement statement or other closing statement</w:t>
      </w:r>
    </w:p>
    <w:p w:rsidR="00444EB8" w:rsidRDefault="00444EB8" w:rsidP="001C2952">
      <w:pPr>
        <w:pStyle w:val="NoSpacing"/>
        <w:rPr>
          <w:rFonts w:ascii="Arial" w:hAnsi="Arial" w:cs="Arial"/>
          <w:color w:val="000000"/>
          <w:sz w:val="28"/>
          <w:szCs w:val="28"/>
        </w:rPr>
      </w:pPr>
    </w:p>
    <w:p w:rsidR="00152B15" w:rsidRDefault="00152B15" w:rsidP="001C2952">
      <w:pPr>
        <w:pStyle w:val="NoSpacing"/>
        <w:rPr>
          <w:rFonts w:ascii="Arial" w:hAnsi="Arial" w:cs="Arial"/>
          <w:b/>
          <w:color w:val="000000"/>
          <w:sz w:val="36"/>
          <w:szCs w:val="36"/>
        </w:rPr>
      </w:pPr>
    </w:p>
    <w:p w:rsidR="001C2952" w:rsidRPr="00E8488B" w:rsidRDefault="001F2D85" w:rsidP="00152B15">
      <w:pPr>
        <w:autoSpaceDE w:val="0"/>
        <w:autoSpaceDN w:val="0"/>
        <w:adjustRightInd w:val="0"/>
        <w:spacing w:after="0" w:line="240" w:lineRule="auto"/>
        <w:rPr>
          <w:rFonts w:ascii="MS Shell Dlg 2" w:hAnsi="MS Shell Dlg 2" w:cs="MS Shell Dlg 2"/>
          <w:sz w:val="32"/>
          <w:szCs w:val="32"/>
        </w:rPr>
      </w:pPr>
      <w:r w:rsidRPr="00E8488B">
        <w:rPr>
          <w:rFonts w:ascii="Arial" w:hAnsi="Arial" w:cs="Arial"/>
          <w:b/>
          <w:color w:val="000000"/>
          <w:sz w:val="32"/>
          <w:szCs w:val="32"/>
        </w:rPr>
        <w:t>REFINANCE OF EXISTING MORTGAGES</w:t>
      </w:r>
      <w:r w:rsidR="00152B15" w:rsidRPr="00E8488B">
        <w:rPr>
          <w:rFonts w:ascii="Arial" w:hAnsi="Arial" w:cs="Arial"/>
          <w:b/>
          <w:color w:val="000000"/>
          <w:sz w:val="32"/>
          <w:szCs w:val="32"/>
        </w:rPr>
        <w:t xml:space="preserve"> TP </w:t>
      </w:r>
      <w:r w:rsidR="00152B15" w:rsidRPr="00E8488B">
        <w:rPr>
          <w:rFonts w:ascii="Arial" w:hAnsi="Arial" w:cs="Arial"/>
          <w:b/>
          <w:sz w:val="32"/>
          <w:szCs w:val="32"/>
        </w:rPr>
        <w:t>§</w:t>
      </w:r>
      <w:r w:rsidR="00152B15" w:rsidRPr="00E8488B">
        <w:rPr>
          <w:rFonts w:ascii="MS Shell Dlg 2" w:hAnsi="MS Shell Dlg 2" w:cs="MS Shell Dlg 2"/>
          <w:b/>
          <w:sz w:val="32"/>
          <w:szCs w:val="32"/>
        </w:rPr>
        <w:t xml:space="preserve"> 12-108(g)</w:t>
      </w:r>
      <w:r w:rsidRPr="00E8488B">
        <w:rPr>
          <w:rFonts w:ascii="Arial" w:hAnsi="Arial" w:cs="Arial"/>
          <w:b/>
          <w:color w:val="000000"/>
          <w:sz w:val="32"/>
          <w:szCs w:val="32"/>
        </w:rPr>
        <w:t>:</w:t>
      </w:r>
    </w:p>
    <w:p w:rsidR="001F2D85" w:rsidRDefault="00D30C3E" w:rsidP="001C2952">
      <w:pPr>
        <w:pStyle w:val="NoSpacing"/>
        <w:rPr>
          <w:rFonts w:ascii="Arial" w:hAnsi="Arial" w:cs="Arial"/>
          <w:color w:val="000000"/>
          <w:sz w:val="28"/>
          <w:szCs w:val="28"/>
        </w:rPr>
      </w:pPr>
      <w:r>
        <w:rPr>
          <w:rFonts w:ascii="Arial" w:hAnsi="Arial" w:cs="Arial"/>
          <w:color w:val="000000"/>
          <w:sz w:val="28"/>
          <w:szCs w:val="28"/>
        </w:rPr>
        <w:t>All loans are eligible for the refinance exemption (no longer limited to a personal residence).</w:t>
      </w:r>
    </w:p>
    <w:p w:rsidR="00D30C3E" w:rsidRDefault="00D30C3E" w:rsidP="001C2952">
      <w:pPr>
        <w:pStyle w:val="NoSpacing"/>
        <w:rPr>
          <w:rFonts w:ascii="Arial" w:hAnsi="Arial" w:cs="Arial"/>
          <w:color w:val="000000"/>
          <w:sz w:val="28"/>
          <w:szCs w:val="28"/>
        </w:rPr>
      </w:pPr>
    </w:p>
    <w:p w:rsidR="00D30C3E" w:rsidRDefault="00D30C3E" w:rsidP="001C2952">
      <w:pPr>
        <w:pStyle w:val="NoSpacing"/>
        <w:rPr>
          <w:rFonts w:ascii="Arial" w:hAnsi="Arial" w:cs="Arial"/>
          <w:color w:val="000000"/>
          <w:sz w:val="28"/>
          <w:szCs w:val="28"/>
        </w:rPr>
      </w:pPr>
      <w:r>
        <w:rPr>
          <w:rFonts w:ascii="Arial" w:hAnsi="Arial" w:cs="Arial"/>
          <w:color w:val="000000"/>
          <w:sz w:val="28"/>
          <w:szCs w:val="28"/>
        </w:rPr>
        <w:t>The following documents will need to be presented with the new deed of trust:</w:t>
      </w:r>
    </w:p>
    <w:p w:rsidR="00D30C3E" w:rsidRDefault="00D30C3E" w:rsidP="001C2952">
      <w:pPr>
        <w:pStyle w:val="NoSpacing"/>
        <w:rPr>
          <w:rFonts w:ascii="Arial" w:hAnsi="Arial" w:cs="Arial"/>
          <w:color w:val="000000"/>
          <w:sz w:val="28"/>
          <w:szCs w:val="28"/>
        </w:rPr>
      </w:pPr>
    </w:p>
    <w:p w:rsidR="001F2D85" w:rsidRDefault="001F2D85" w:rsidP="001C2952">
      <w:pPr>
        <w:pStyle w:val="NoSpacing"/>
        <w:rPr>
          <w:rFonts w:ascii="Arial" w:hAnsi="Arial" w:cs="Arial"/>
          <w:color w:val="000000"/>
          <w:sz w:val="28"/>
          <w:szCs w:val="28"/>
        </w:rPr>
      </w:pPr>
      <w:r>
        <w:rPr>
          <w:rFonts w:ascii="Arial" w:hAnsi="Arial" w:cs="Arial"/>
          <w:color w:val="000000"/>
          <w:sz w:val="28"/>
          <w:szCs w:val="28"/>
        </w:rPr>
        <w:t>-</w:t>
      </w:r>
      <w:r w:rsidR="00D6207C">
        <w:rPr>
          <w:rFonts w:ascii="Arial" w:hAnsi="Arial" w:cs="Arial"/>
          <w:color w:val="000000"/>
          <w:sz w:val="28"/>
          <w:szCs w:val="28"/>
        </w:rPr>
        <w:t xml:space="preserve"> A</w:t>
      </w:r>
      <w:r>
        <w:rPr>
          <w:rFonts w:ascii="Arial" w:hAnsi="Arial" w:cs="Arial"/>
          <w:color w:val="000000"/>
          <w:sz w:val="28"/>
          <w:szCs w:val="28"/>
        </w:rPr>
        <w:t xml:space="preserve">ffidavit </w:t>
      </w:r>
      <w:r w:rsidR="00D6207C">
        <w:rPr>
          <w:rFonts w:ascii="Arial" w:hAnsi="Arial" w:cs="Arial"/>
          <w:color w:val="000000"/>
          <w:sz w:val="28"/>
          <w:szCs w:val="28"/>
        </w:rPr>
        <w:t xml:space="preserve">for refinances and supplements </w:t>
      </w:r>
      <w:r>
        <w:rPr>
          <w:rFonts w:ascii="Arial" w:hAnsi="Arial" w:cs="Arial"/>
          <w:color w:val="000000"/>
          <w:sz w:val="28"/>
          <w:szCs w:val="28"/>
        </w:rPr>
        <w:t>(revised</w:t>
      </w:r>
      <w:r w:rsidR="00E85904">
        <w:rPr>
          <w:rFonts w:ascii="Arial" w:hAnsi="Arial" w:cs="Arial"/>
          <w:color w:val="000000"/>
          <w:sz w:val="28"/>
          <w:szCs w:val="28"/>
        </w:rPr>
        <w:t xml:space="preserve"> version</w:t>
      </w:r>
      <w:r w:rsidR="0007149B">
        <w:rPr>
          <w:rFonts w:ascii="Arial" w:hAnsi="Arial" w:cs="Arial"/>
          <w:color w:val="000000"/>
          <w:sz w:val="28"/>
          <w:szCs w:val="28"/>
        </w:rPr>
        <w:t xml:space="preserve"> available</w:t>
      </w:r>
      <w:r w:rsidR="00AD649A">
        <w:rPr>
          <w:rFonts w:ascii="Arial" w:hAnsi="Arial" w:cs="Arial"/>
          <w:color w:val="000000"/>
          <w:sz w:val="28"/>
          <w:szCs w:val="28"/>
        </w:rPr>
        <w:t xml:space="preserve"> online</w:t>
      </w:r>
      <w:r>
        <w:rPr>
          <w:rFonts w:ascii="Arial" w:hAnsi="Arial" w:cs="Arial"/>
          <w:color w:val="000000"/>
          <w:sz w:val="28"/>
          <w:szCs w:val="28"/>
        </w:rPr>
        <w:t>)</w:t>
      </w:r>
      <w:r w:rsidR="00C82F09">
        <w:rPr>
          <w:rFonts w:ascii="Arial" w:hAnsi="Arial" w:cs="Arial"/>
          <w:color w:val="000000"/>
          <w:sz w:val="16"/>
          <w:szCs w:val="16"/>
        </w:rPr>
        <w:t xml:space="preserve"> </w:t>
      </w:r>
      <w:r w:rsidR="0007149B">
        <w:rPr>
          <w:rFonts w:ascii="Arial" w:hAnsi="Arial" w:cs="Arial"/>
          <w:color w:val="000000"/>
          <w:sz w:val="28"/>
          <w:szCs w:val="28"/>
        </w:rPr>
        <w:t>and</w:t>
      </w:r>
    </w:p>
    <w:p w:rsidR="001F2D85" w:rsidRDefault="001F2D85" w:rsidP="001C2952">
      <w:pPr>
        <w:pStyle w:val="NoSpacing"/>
        <w:rPr>
          <w:rFonts w:ascii="Arial" w:hAnsi="Arial" w:cs="Arial"/>
          <w:color w:val="000000"/>
          <w:sz w:val="28"/>
          <w:szCs w:val="28"/>
        </w:rPr>
      </w:pPr>
      <w:r>
        <w:rPr>
          <w:rFonts w:ascii="Arial" w:hAnsi="Arial" w:cs="Arial"/>
          <w:color w:val="000000"/>
          <w:sz w:val="28"/>
          <w:szCs w:val="28"/>
        </w:rPr>
        <w:t>-The HUD-1 settlement statement</w:t>
      </w:r>
      <w:r w:rsidR="00D30C3E">
        <w:rPr>
          <w:rFonts w:ascii="Arial" w:hAnsi="Arial" w:cs="Arial"/>
          <w:color w:val="000000"/>
          <w:sz w:val="28"/>
          <w:szCs w:val="28"/>
        </w:rPr>
        <w:t xml:space="preserve"> or other closing statement</w:t>
      </w:r>
    </w:p>
    <w:p w:rsidR="001F2D85" w:rsidRDefault="001F2D85" w:rsidP="001C2952">
      <w:pPr>
        <w:pStyle w:val="NoSpacing"/>
        <w:rPr>
          <w:rFonts w:ascii="Arial" w:hAnsi="Arial" w:cs="Arial"/>
          <w:color w:val="000000"/>
          <w:sz w:val="28"/>
          <w:szCs w:val="28"/>
        </w:rPr>
      </w:pPr>
    </w:p>
    <w:p w:rsidR="001F2D85" w:rsidRPr="000C6BBE" w:rsidRDefault="001F2D85" w:rsidP="000C6BBE">
      <w:pPr>
        <w:autoSpaceDE w:val="0"/>
        <w:autoSpaceDN w:val="0"/>
        <w:adjustRightInd w:val="0"/>
        <w:spacing w:after="0" w:line="240" w:lineRule="auto"/>
        <w:rPr>
          <w:rFonts w:ascii="MS Shell Dlg 2" w:hAnsi="MS Shell Dlg 2" w:cs="MS Shell Dlg 2"/>
          <w:sz w:val="16"/>
          <w:szCs w:val="16"/>
        </w:rPr>
      </w:pPr>
      <w:r w:rsidRPr="00470521">
        <w:rPr>
          <w:rFonts w:ascii="Arial" w:hAnsi="Arial" w:cs="Arial"/>
          <w:b/>
          <w:color w:val="000000"/>
          <w:sz w:val="32"/>
          <w:szCs w:val="32"/>
        </w:rPr>
        <w:t>T</w:t>
      </w:r>
      <w:r w:rsidR="000C6BBE">
        <w:rPr>
          <w:rFonts w:ascii="Arial" w:hAnsi="Arial" w:cs="Arial"/>
          <w:b/>
          <w:color w:val="000000"/>
          <w:sz w:val="32"/>
          <w:szCs w:val="32"/>
        </w:rPr>
        <w:t>RANSFERS BETWEEN CERTAIN CORPORATIONS AND LIMITED LIABILITY COMPANIES T</w:t>
      </w:r>
      <w:r w:rsidR="000C6BBE" w:rsidRPr="000C6BBE">
        <w:rPr>
          <w:rFonts w:ascii="Arial" w:hAnsi="Arial" w:cs="Arial"/>
          <w:b/>
          <w:color w:val="000000"/>
          <w:sz w:val="32"/>
          <w:szCs w:val="32"/>
        </w:rPr>
        <w:t>P</w:t>
      </w:r>
      <w:r w:rsidR="000C6BBE" w:rsidRPr="000C6BBE">
        <w:rPr>
          <w:rFonts w:ascii="Arial" w:hAnsi="Arial" w:cs="Arial"/>
          <w:b/>
          <w:sz w:val="32"/>
          <w:szCs w:val="32"/>
        </w:rPr>
        <w:t>§</w:t>
      </w:r>
      <w:r w:rsidR="000C6BBE">
        <w:rPr>
          <w:rFonts w:ascii="Arial" w:hAnsi="Arial" w:cs="Arial"/>
          <w:b/>
          <w:color w:val="000000"/>
          <w:sz w:val="32"/>
          <w:szCs w:val="32"/>
        </w:rPr>
        <w:t xml:space="preserve"> 12-108(P):</w:t>
      </w:r>
    </w:p>
    <w:p w:rsidR="0092643D" w:rsidRDefault="00D83F82" w:rsidP="001C2952">
      <w:pPr>
        <w:pStyle w:val="NoSpacing"/>
        <w:rPr>
          <w:rFonts w:ascii="Arial" w:hAnsi="Arial" w:cs="Arial"/>
          <w:color w:val="000000"/>
          <w:sz w:val="28"/>
          <w:szCs w:val="28"/>
        </w:rPr>
      </w:pPr>
      <w:r>
        <w:rPr>
          <w:rFonts w:ascii="Arial" w:hAnsi="Arial" w:cs="Arial"/>
          <w:color w:val="000000"/>
          <w:sz w:val="28"/>
          <w:szCs w:val="28"/>
        </w:rPr>
        <w:t>A t</w:t>
      </w:r>
      <w:r w:rsidR="0092643D">
        <w:rPr>
          <w:rFonts w:ascii="Arial" w:hAnsi="Arial" w:cs="Arial"/>
          <w:color w:val="000000"/>
          <w:sz w:val="28"/>
          <w:szCs w:val="28"/>
        </w:rPr>
        <w:t>ransfer of real property between (</w:t>
      </w:r>
      <w:proofErr w:type="spellStart"/>
      <w:r w:rsidR="0092643D">
        <w:rPr>
          <w:rFonts w:ascii="Arial" w:hAnsi="Arial" w:cs="Arial"/>
          <w:color w:val="000000"/>
          <w:sz w:val="28"/>
          <w:szCs w:val="28"/>
        </w:rPr>
        <w:t>i</w:t>
      </w:r>
      <w:proofErr w:type="spellEnd"/>
      <w:r w:rsidR="0092643D">
        <w:rPr>
          <w:rFonts w:ascii="Arial" w:hAnsi="Arial" w:cs="Arial"/>
          <w:color w:val="000000"/>
          <w:sz w:val="28"/>
          <w:szCs w:val="28"/>
        </w:rPr>
        <w:t>) a wholly owned subsidiary and parent corporation and/or limited liability company or (ii) two or more subsidiary entities owned by the same parent corporation or limited liability company, are exempt from recordation tax if the parent entity is the original owner of the subsidiary entity or became an owner through gift or bequest from an original owner.  A transfer of real property “UP” the chain or from a subsidiary entity to its parent entity for no consideration or for the issuance, cancellation or surrender of the subsidiary’s ownership interest is exempt IF: (</w:t>
      </w:r>
      <w:proofErr w:type="spellStart"/>
      <w:r w:rsidR="0092643D">
        <w:rPr>
          <w:rFonts w:ascii="Arial" w:hAnsi="Arial" w:cs="Arial"/>
          <w:color w:val="000000"/>
          <w:sz w:val="28"/>
          <w:szCs w:val="28"/>
        </w:rPr>
        <w:t>i</w:t>
      </w:r>
      <w:proofErr w:type="spellEnd"/>
      <w:r w:rsidR="0092643D">
        <w:rPr>
          <w:rFonts w:ascii="Arial" w:hAnsi="Arial" w:cs="Arial"/>
          <w:color w:val="000000"/>
          <w:sz w:val="28"/>
          <w:szCs w:val="28"/>
        </w:rPr>
        <w:t>) the parent entity previously owned that real property; or (ii) currently owns the subsidiary and has held the ownership of the subsidiary for more than 18  months; or (iii) acquires the ownership interest of the subsidiary which has been in existence and owned the real property for more than 2 years.</w:t>
      </w:r>
    </w:p>
    <w:p w:rsidR="0092643D" w:rsidRDefault="0092643D" w:rsidP="001C2952">
      <w:pPr>
        <w:pStyle w:val="NoSpacing"/>
        <w:rPr>
          <w:rFonts w:ascii="Arial" w:hAnsi="Arial" w:cs="Arial"/>
          <w:color w:val="000000"/>
          <w:sz w:val="28"/>
          <w:szCs w:val="28"/>
        </w:rPr>
      </w:pPr>
    </w:p>
    <w:p w:rsidR="0092643D" w:rsidRDefault="0092643D" w:rsidP="001C2952">
      <w:pPr>
        <w:pStyle w:val="NoSpacing"/>
        <w:rPr>
          <w:rFonts w:ascii="Arial" w:hAnsi="Arial" w:cs="Arial"/>
          <w:color w:val="000000"/>
          <w:sz w:val="28"/>
          <w:szCs w:val="28"/>
        </w:rPr>
      </w:pPr>
      <w:r>
        <w:rPr>
          <w:rFonts w:ascii="Arial" w:hAnsi="Arial" w:cs="Arial"/>
          <w:color w:val="000000"/>
          <w:sz w:val="28"/>
          <w:szCs w:val="28"/>
        </w:rPr>
        <w:t xml:space="preserve">Partnerships and business trusts are not included in this exemption.  </w:t>
      </w:r>
    </w:p>
    <w:p w:rsidR="00F21980" w:rsidRDefault="00F21980" w:rsidP="001C2952">
      <w:pPr>
        <w:pStyle w:val="NoSpacing"/>
        <w:rPr>
          <w:rFonts w:ascii="Arial" w:hAnsi="Arial" w:cs="Arial"/>
          <w:color w:val="000000"/>
          <w:sz w:val="28"/>
          <w:szCs w:val="28"/>
        </w:rPr>
      </w:pPr>
    </w:p>
    <w:p w:rsidR="00B965EC" w:rsidRPr="006A6679" w:rsidRDefault="00F21980" w:rsidP="00B965EC">
      <w:pPr>
        <w:pStyle w:val="NoSpacing"/>
        <w:rPr>
          <w:rFonts w:ascii="Arial" w:hAnsi="Arial" w:cs="Arial"/>
          <w:b/>
          <w:color w:val="000000"/>
          <w:sz w:val="32"/>
          <w:szCs w:val="32"/>
        </w:rPr>
      </w:pPr>
      <w:r w:rsidRPr="000C4415">
        <w:rPr>
          <w:rFonts w:ascii="Arial" w:hAnsi="Arial" w:cs="Arial"/>
          <w:b/>
          <w:color w:val="000000"/>
          <w:sz w:val="32"/>
          <w:szCs w:val="32"/>
        </w:rPr>
        <w:t>Additional information &amp; affidavits may be found on the Howard County, Maryland website:  www.howardcountymd.gov.</w:t>
      </w:r>
    </w:p>
    <w:sectPr w:rsidR="00B965EC" w:rsidRPr="006A6679" w:rsidSect="00360914">
      <w:footerReference w:type="default" r:id="rId7"/>
      <w:headerReference w:type="first" r:id="rId8"/>
      <w:footerReference w:type="first" r:id="rId9"/>
      <w:pgSz w:w="12240" w:h="15840" w:code="1"/>
      <w:pgMar w:top="1267"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8E9" w:rsidRDefault="007C08E9" w:rsidP="00D1708B">
      <w:pPr>
        <w:spacing w:after="0" w:line="240" w:lineRule="auto"/>
      </w:pPr>
      <w:r>
        <w:separator/>
      </w:r>
    </w:p>
  </w:endnote>
  <w:endnote w:type="continuationSeparator" w:id="1">
    <w:p w:rsidR="007C08E9" w:rsidRDefault="007C08E9" w:rsidP="00D17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91894"/>
      <w:docPartObj>
        <w:docPartGallery w:val="Page Numbers (Bottom of Page)"/>
        <w:docPartUnique/>
      </w:docPartObj>
    </w:sdtPr>
    <w:sdtContent>
      <w:p w:rsidR="00EC27FD" w:rsidRDefault="00EC27FD">
        <w:pPr>
          <w:pStyle w:val="Footer"/>
          <w:jc w:val="center"/>
        </w:pPr>
        <w:r w:rsidRPr="00EC27FD">
          <w:rPr>
            <w:noProof/>
          </w:rPr>
          <w:drawing>
            <wp:inline distT="0" distB="0" distL="0" distR="0">
              <wp:extent cx="5943600" cy="2190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43600" cy="219075"/>
                      </a:xfrm>
                      <a:prstGeom prst="rect">
                        <a:avLst/>
                      </a:prstGeom>
                      <a:noFill/>
                      <a:ln w="9525">
                        <a:noFill/>
                        <a:miter lim="800000"/>
                        <a:headEnd/>
                        <a:tailEnd/>
                      </a:ln>
                    </pic:spPr>
                  </pic:pic>
                </a:graphicData>
              </a:graphic>
            </wp:inline>
          </w:drawing>
        </w:r>
        <w:fldSimple w:instr=" PAGE   \* MERGEFORMAT ">
          <w:r w:rsidR="00492AF1">
            <w:rPr>
              <w:noProof/>
            </w:rPr>
            <w:t>2</w:t>
          </w:r>
        </w:fldSimple>
      </w:p>
    </w:sdtContent>
  </w:sdt>
  <w:p w:rsidR="00EC27FD" w:rsidRDefault="00EC27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FB" w:rsidRDefault="004F13FB">
    <w:pPr>
      <w:pStyle w:val="Footer"/>
    </w:pPr>
    <w:r w:rsidRPr="004F13FB">
      <w:rPr>
        <w:noProof/>
      </w:rPr>
      <w:drawing>
        <wp:inline distT="0" distB="0" distL="0" distR="0">
          <wp:extent cx="5943600" cy="21907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43600" cy="219075"/>
                  </a:xfrm>
                  <a:prstGeom prst="rect">
                    <a:avLst/>
                  </a:prstGeom>
                  <a:noFill/>
                  <a:ln w="9525">
                    <a:noFill/>
                    <a:miter lim="800000"/>
                    <a:headEnd/>
                    <a:tailEnd/>
                  </a:ln>
                </pic:spPr>
              </pic:pic>
            </a:graphicData>
          </a:graphic>
        </wp:inline>
      </w:drawing>
    </w:r>
  </w:p>
  <w:p w:rsidR="00EC27FD" w:rsidRDefault="00EC27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8E9" w:rsidRDefault="007C08E9" w:rsidP="00D1708B">
      <w:pPr>
        <w:spacing w:after="0" w:line="240" w:lineRule="auto"/>
      </w:pPr>
      <w:r>
        <w:separator/>
      </w:r>
    </w:p>
  </w:footnote>
  <w:footnote w:type="continuationSeparator" w:id="1">
    <w:p w:rsidR="007C08E9" w:rsidRDefault="007C08E9" w:rsidP="00D170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FB" w:rsidRDefault="000F1BEA">
    <w:pPr>
      <w:pStyle w:val="Header"/>
    </w:pPr>
    <w:r w:rsidRPr="000F1BEA">
      <w:rPr>
        <w:noProof/>
      </w:rPr>
      <w:drawing>
        <wp:inline distT="0" distB="0" distL="0" distR="0">
          <wp:extent cx="5943600" cy="1108398"/>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943600" cy="1108398"/>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8494A"/>
    <w:multiLevelType w:val="hybridMultilevel"/>
    <w:tmpl w:val="49465468"/>
    <w:lvl w:ilvl="0" w:tplc="94BC7E28">
      <w:start w:val="201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3F4282"/>
    <w:multiLevelType w:val="hybridMultilevel"/>
    <w:tmpl w:val="70922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C9296F"/>
    <w:multiLevelType w:val="hybridMultilevel"/>
    <w:tmpl w:val="C13A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511D8"/>
    <w:multiLevelType w:val="hybridMultilevel"/>
    <w:tmpl w:val="524E061E"/>
    <w:lvl w:ilvl="0" w:tplc="8B167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A70CFA"/>
    <w:multiLevelType w:val="hybridMultilevel"/>
    <w:tmpl w:val="5718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D1708B"/>
    <w:rsid w:val="00014B59"/>
    <w:rsid w:val="00041C4B"/>
    <w:rsid w:val="000620EE"/>
    <w:rsid w:val="00065CFE"/>
    <w:rsid w:val="0007149B"/>
    <w:rsid w:val="000750EF"/>
    <w:rsid w:val="000C323C"/>
    <w:rsid w:val="000C4415"/>
    <w:rsid w:val="000C6BBE"/>
    <w:rsid w:val="000D0BB9"/>
    <w:rsid w:val="000F1BEA"/>
    <w:rsid w:val="00152B15"/>
    <w:rsid w:val="001675D0"/>
    <w:rsid w:val="0019068D"/>
    <w:rsid w:val="001A2890"/>
    <w:rsid w:val="001C2952"/>
    <w:rsid w:val="001D43FD"/>
    <w:rsid w:val="001F2D85"/>
    <w:rsid w:val="002532D4"/>
    <w:rsid w:val="0026635C"/>
    <w:rsid w:val="0028596E"/>
    <w:rsid w:val="00290D83"/>
    <w:rsid w:val="00290E9F"/>
    <w:rsid w:val="002A30D3"/>
    <w:rsid w:val="002E2308"/>
    <w:rsid w:val="002E6C50"/>
    <w:rsid w:val="002F104A"/>
    <w:rsid w:val="00306FC3"/>
    <w:rsid w:val="0031239A"/>
    <w:rsid w:val="003205C8"/>
    <w:rsid w:val="003365F5"/>
    <w:rsid w:val="00336A7A"/>
    <w:rsid w:val="00343A87"/>
    <w:rsid w:val="00360914"/>
    <w:rsid w:val="00364364"/>
    <w:rsid w:val="00366E16"/>
    <w:rsid w:val="004078FD"/>
    <w:rsid w:val="00444EB8"/>
    <w:rsid w:val="004617B9"/>
    <w:rsid w:val="00470521"/>
    <w:rsid w:val="004731E9"/>
    <w:rsid w:val="00492AF1"/>
    <w:rsid w:val="004A2CAA"/>
    <w:rsid w:val="004C0A3F"/>
    <w:rsid w:val="004D6350"/>
    <w:rsid w:val="004F13FB"/>
    <w:rsid w:val="00500342"/>
    <w:rsid w:val="00503A38"/>
    <w:rsid w:val="00517173"/>
    <w:rsid w:val="00577124"/>
    <w:rsid w:val="005B011A"/>
    <w:rsid w:val="005C3A43"/>
    <w:rsid w:val="005C447A"/>
    <w:rsid w:val="005F214C"/>
    <w:rsid w:val="005F21DD"/>
    <w:rsid w:val="00672A69"/>
    <w:rsid w:val="00685310"/>
    <w:rsid w:val="00685D92"/>
    <w:rsid w:val="006A6679"/>
    <w:rsid w:val="006E2223"/>
    <w:rsid w:val="006E4560"/>
    <w:rsid w:val="00747A52"/>
    <w:rsid w:val="007746A7"/>
    <w:rsid w:val="007757B4"/>
    <w:rsid w:val="00775E11"/>
    <w:rsid w:val="007A0266"/>
    <w:rsid w:val="007C08E9"/>
    <w:rsid w:val="007D42C4"/>
    <w:rsid w:val="008005AB"/>
    <w:rsid w:val="00802DCE"/>
    <w:rsid w:val="00817AD3"/>
    <w:rsid w:val="008521FF"/>
    <w:rsid w:val="00881DA8"/>
    <w:rsid w:val="0088219A"/>
    <w:rsid w:val="00897A2F"/>
    <w:rsid w:val="008A66C3"/>
    <w:rsid w:val="008C588B"/>
    <w:rsid w:val="008F3A5D"/>
    <w:rsid w:val="0092643D"/>
    <w:rsid w:val="00927069"/>
    <w:rsid w:val="00933FF3"/>
    <w:rsid w:val="00973519"/>
    <w:rsid w:val="009769DF"/>
    <w:rsid w:val="00980680"/>
    <w:rsid w:val="00981B9F"/>
    <w:rsid w:val="00982C93"/>
    <w:rsid w:val="009B53C0"/>
    <w:rsid w:val="009C097D"/>
    <w:rsid w:val="009C31BD"/>
    <w:rsid w:val="009E50E6"/>
    <w:rsid w:val="00A74E5A"/>
    <w:rsid w:val="00A834CA"/>
    <w:rsid w:val="00AC3690"/>
    <w:rsid w:val="00AC7B99"/>
    <w:rsid w:val="00AD649A"/>
    <w:rsid w:val="00AE6195"/>
    <w:rsid w:val="00AE7FF1"/>
    <w:rsid w:val="00B86AEC"/>
    <w:rsid w:val="00B96374"/>
    <w:rsid w:val="00B965EC"/>
    <w:rsid w:val="00BC6B9C"/>
    <w:rsid w:val="00BD762A"/>
    <w:rsid w:val="00BE6940"/>
    <w:rsid w:val="00C32619"/>
    <w:rsid w:val="00C65BC5"/>
    <w:rsid w:val="00C678FC"/>
    <w:rsid w:val="00C753BB"/>
    <w:rsid w:val="00C82F09"/>
    <w:rsid w:val="00CA09EC"/>
    <w:rsid w:val="00CE2BCB"/>
    <w:rsid w:val="00D1708B"/>
    <w:rsid w:val="00D21888"/>
    <w:rsid w:val="00D30C3E"/>
    <w:rsid w:val="00D6207C"/>
    <w:rsid w:val="00D6654C"/>
    <w:rsid w:val="00D732AB"/>
    <w:rsid w:val="00D744C4"/>
    <w:rsid w:val="00D83F82"/>
    <w:rsid w:val="00D84273"/>
    <w:rsid w:val="00D97E10"/>
    <w:rsid w:val="00DD6766"/>
    <w:rsid w:val="00E358F0"/>
    <w:rsid w:val="00E43159"/>
    <w:rsid w:val="00E51EFB"/>
    <w:rsid w:val="00E716E4"/>
    <w:rsid w:val="00E8488B"/>
    <w:rsid w:val="00E85904"/>
    <w:rsid w:val="00EA78FA"/>
    <w:rsid w:val="00EC2251"/>
    <w:rsid w:val="00EC27FD"/>
    <w:rsid w:val="00EC7DCA"/>
    <w:rsid w:val="00EE668C"/>
    <w:rsid w:val="00F147A4"/>
    <w:rsid w:val="00F15B8A"/>
    <w:rsid w:val="00F21980"/>
    <w:rsid w:val="00F557F6"/>
    <w:rsid w:val="00F64252"/>
    <w:rsid w:val="00F6464F"/>
    <w:rsid w:val="00F66737"/>
    <w:rsid w:val="00FB3B40"/>
    <w:rsid w:val="00FC5B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251"/>
  </w:style>
  <w:style w:type="paragraph" w:styleId="Heading1">
    <w:name w:val="heading 1"/>
    <w:basedOn w:val="Normal"/>
    <w:next w:val="Normal"/>
    <w:link w:val="Heading1Char"/>
    <w:uiPriority w:val="9"/>
    <w:qFormat/>
    <w:rsid w:val="00D665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08B"/>
  </w:style>
  <w:style w:type="paragraph" w:styleId="Footer">
    <w:name w:val="footer"/>
    <w:basedOn w:val="Normal"/>
    <w:link w:val="FooterChar"/>
    <w:uiPriority w:val="99"/>
    <w:unhideWhenUsed/>
    <w:rsid w:val="00D17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08B"/>
  </w:style>
  <w:style w:type="paragraph" w:styleId="BalloonText">
    <w:name w:val="Balloon Text"/>
    <w:basedOn w:val="Normal"/>
    <w:link w:val="BalloonTextChar"/>
    <w:uiPriority w:val="99"/>
    <w:semiHidden/>
    <w:unhideWhenUsed/>
    <w:rsid w:val="00D17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08B"/>
    <w:rPr>
      <w:rFonts w:ascii="Tahoma" w:hAnsi="Tahoma" w:cs="Tahoma"/>
      <w:sz w:val="16"/>
      <w:szCs w:val="16"/>
    </w:rPr>
  </w:style>
  <w:style w:type="character" w:customStyle="1" w:styleId="Heading1Char">
    <w:name w:val="Heading 1 Char"/>
    <w:basedOn w:val="DefaultParagraphFont"/>
    <w:link w:val="Heading1"/>
    <w:uiPriority w:val="9"/>
    <w:rsid w:val="00D6654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6654C"/>
    <w:pPr>
      <w:spacing w:after="0" w:line="240" w:lineRule="auto"/>
    </w:pPr>
  </w:style>
  <w:style w:type="character" w:styleId="Hyperlink">
    <w:name w:val="Hyperlink"/>
    <w:basedOn w:val="DefaultParagraphFont"/>
    <w:rsid w:val="008F3A5D"/>
    <w:rPr>
      <w:color w:val="0000FF"/>
      <w:u w:val="single"/>
    </w:rPr>
  </w:style>
  <w:style w:type="paragraph" w:styleId="PlainText">
    <w:name w:val="Plain Text"/>
    <w:basedOn w:val="Normal"/>
    <w:link w:val="PlainTextChar"/>
    <w:uiPriority w:val="99"/>
    <w:unhideWhenUsed/>
    <w:rsid w:val="0026635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6635C"/>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475</Words>
  <Characters>2709</Characters>
  <Application>Microsoft Office Word</Application>
  <DocSecurity>0</DocSecurity>
  <Lines>22</Lines>
  <Paragraphs>6</Paragraphs>
  <ScaleCrop>false</ScaleCrop>
  <Company>Howard County Government</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Guion</dc:creator>
  <cp:lastModifiedBy>lbennett</cp:lastModifiedBy>
  <cp:revision>14</cp:revision>
  <cp:lastPrinted>2013-06-26T19:22:00Z</cp:lastPrinted>
  <dcterms:created xsi:type="dcterms:W3CDTF">2013-06-25T14:37:00Z</dcterms:created>
  <dcterms:modified xsi:type="dcterms:W3CDTF">2013-06-26T19:27:00Z</dcterms:modified>
</cp:coreProperties>
</file>